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9166D" w14:textId="223EC5A6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34CF30D2" w:rsidR="00033E58" w:rsidRPr="00A3507C" w:rsidRDefault="00450D66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認知発達とその支援に関する科目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5C1A9B53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C96B54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1D411383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CB11DF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295170C7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391"/>
        <w:gridCol w:w="2438"/>
        <w:gridCol w:w="2381"/>
        <w:gridCol w:w="425"/>
        <w:gridCol w:w="2439"/>
        <w:gridCol w:w="6"/>
        <w:gridCol w:w="420"/>
        <w:gridCol w:w="1985"/>
      </w:tblGrid>
      <w:tr w:rsidR="00981F60" w:rsidRPr="00A3507C" w14:paraId="345D1D04" w14:textId="7A9F583E" w:rsidTr="002C6E7D">
        <w:tc>
          <w:tcPr>
            <w:tcW w:w="391" w:type="dxa"/>
          </w:tcPr>
          <w:p w14:paraId="4BFBAF21" w14:textId="77777777" w:rsidR="00450D66" w:rsidRPr="00A3507C" w:rsidRDefault="00450D66" w:rsidP="002C6E7D">
            <w:pPr>
              <w:jc w:val="center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14:paraId="58970E7F" w14:textId="441DF2E2" w:rsidR="00450D66" w:rsidRPr="00A3507C" w:rsidRDefault="00450D66" w:rsidP="002C6E7D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381" w:type="dxa"/>
            <w:vAlign w:val="center"/>
          </w:tcPr>
          <w:p w14:paraId="7E1C5C7F" w14:textId="09BE7C89" w:rsidR="00450D66" w:rsidRPr="00E65FDA" w:rsidRDefault="00450D66" w:rsidP="002C6E7D">
            <w:pPr>
              <w:jc w:val="center"/>
              <w:rPr>
                <w:b/>
              </w:rPr>
            </w:pPr>
            <w:r w:rsidRPr="00981F60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シラバスの授業回と文言</w:t>
            </w:r>
          </w:p>
        </w:tc>
        <w:tc>
          <w:tcPr>
            <w:tcW w:w="5275" w:type="dxa"/>
            <w:gridSpan w:val="5"/>
            <w:tcBorders>
              <w:bottom w:val="single" w:sz="4" w:space="0" w:color="auto"/>
            </w:tcBorders>
            <w:vAlign w:val="center"/>
          </w:tcPr>
          <w:p w14:paraId="6D985C9E" w14:textId="77777777" w:rsidR="00450D66" w:rsidRDefault="00450D66" w:rsidP="002C6E7D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450D66" w:rsidRPr="00A3507C" w:rsidRDefault="00450D66" w:rsidP="002C6E7D">
            <w:pPr>
              <w:jc w:val="center"/>
              <w:rPr>
                <w:b/>
              </w:rPr>
            </w:pPr>
            <w:r w:rsidRPr="00C96B54"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 w:rsidRPr="00C96B54"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AE13A3" w:rsidRPr="00A3507C" w14:paraId="692D894D" w14:textId="2D48DA54" w:rsidTr="002C6E7D">
        <w:trPr>
          <w:trHeight w:val="139"/>
        </w:trPr>
        <w:tc>
          <w:tcPr>
            <w:tcW w:w="391" w:type="dxa"/>
            <w:vMerge w:val="restart"/>
          </w:tcPr>
          <w:p w14:paraId="24D44089" w14:textId="77777777" w:rsidR="00AE13A3" w:rsidRDefault="00AE13A3" w:rsidP="002C6E7D"/>
          <w:p w14:paraId="435DCB39" w14:textId="77777777" w:rsidR="00AE13A3" w:rsidRDefault="00AE13A3" w:rsidP="002C6E7D"/>
          <w:p w14:paraId="441F8C65" w14:textId="057ADD81" w:rsidR="00AE13A3" w:rsidRPr="00450D66" w:rsidRDefault="004E1446" w:rsidP="002C6E7D">
            <w:pPr>
              <w:rPr>
                <w:b/>
              </w:rPr>
            </w:pPr>
            <w:r>
              <w:rPr>
                <w:rFonts w:hint="eastAsia"/>
                <w:b/>
              </w:rPr>
              <w:t>発達の</w:t>
            </w:r>
            <w:r w:rsidR="00AE13A3" w:rsidRPr="00A3507C">
              <w:rPr>
                <w:rFonts w:hint="eastAsia"/>
                <w:b/>
              </w:rPr>
              <w:t>基礎</w:t>
            </w:r>
          </w:p>
        </w:tc>
        <w:tc>
          <w:tcPr>
            <w:tcW w:w="2438" w:type="dxa"/>
            <w:vMerge w:val="restart"/>
          </w:tcPr>
          <w:p w14:paraId="41FD4A2C" w14:textId="1F4B3D95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Pr="00A3507C">
              <w:rPr>
                <w:rFonts w:hint="eastAsia"/>
              </w:rPr>
              <w:t>認知発達の生物学的基礎</w:t>
            </w:r>
          </w:p>
        </w:tc>
        <w:tc>
          <w:tcPr>
            <w:tcW w:w="2381" w:type="dxa"/>
            <w:vMerge w:val="restart"/>
          </w:tcPr>
          <w:p w14:paraId="4FC697CC" w14:textId="77777777" w:rsidR="00AE13A3" w:rsidRPr="00A3507C" w:rsidRDefault="00AE13A3" w:rsidP="002C6E7D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1A58D243" w:rsidR="00AE13A3" w:rsidRPr="009602DA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left w:val="nil"/>
              <w:bottom w:val="nil"/>
            </w:tcBorders>
            <w:vAlign w:val="center"/>
          </w:tcPr>
          <w:p w14:paraId="5EECA1E7" w14:textId="1B8EA497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認知の進化論的展開</w:t>
            </w:r>
          </w:p>
        </w:tc>
      </w:tr>
      <w:tr w:rsidR="00AE13A3" w:rsidRPr="00A3507C" w14:paraId="3AAFF3E6" w14:textId="77777777" w:rsidTr="002C6E7D">
        <w:trPr>
          <w:trHeight w:val="139"/>
        </w:trPr>
        <w:tc>
          <w:tcPr>
            <w:tcW w:w="391" w:type="dxa"/>
            <w:vMerge/>
          </w:tcPr>
          <w:p w14:paraId="676DFEBC" w14:textId="77777777" w:rsidR="00AE13A3" w:rsidRDefault="00AE13A3" w:rsidP="002C6E7D"/>
        </w:tc>
        <w:tc>
          <w:tcPr>
            <w:tcW w:w="2438" w:type="dxa"/>
            <w:vMerge/>
          </w:tcPr>
          <w:p w14:paraId="01D26B4F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006B7697" w14:textId="77777777" w:rsidR="00AE13A3" w:rsidRPr="00A3507C" w:rsidRDefault="00AE13A3" w:rsidP="002C6E7D"/>
        </w:tc>
        <w:sdt>
          <w:sdtPr>
            <w:id w:val="1922685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5B13DE0" w14:textId="1A814952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BC11E2F" w14:textId="115A01DB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脳神経科学</w:t>
            </w:r>
          </w:p>
        </w:tc>
      </w:tr>
      <w:tr w:rsidR="00AE13A3" w:rsidRPr="00A3507C" w14:paraId="40D6EA6D" w14:textId="71A22D1F" w:rsidTr="002C6E7D">
        <w:tc>
          <w:tcPr>
            <w:tcW w:w="391" w:type="dxa"/>
            <w:vMerge/>
          </w:tcPr>
          <w:p w14:paraId="46E2419C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04A46B73" w14:textId="571B2188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4BE6D8A8" w14:textId="77777777" w:rsidR="00AE13A3" w:rsidRPr="00A3507C" w:rsidRDefault="00AE13A3" w:rsidP="002C6E7D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A9F399" w14:textId="4389285D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知覚の発達</w:t>
            </w:r>
          </w:p>
        </w:tc>
      </w:tr>
      <w:tr w:rsidR="00E8495F" w:rsidRPr="00A3507C" w14:paraId="3854BE31" w14:textId="28E99073" w:rsidTr="002C6E7D">
        <w:trPr>
          <w:trHeight w:val="113"/>
        </w:trPr>
        <w:tc>
          <w:tcPr>
            <w:tcW w:w="391" w:type="dxa"/>
            <w:vMerge/>
          </w:tcPr>
          <w:p w14:paraId="4F947BFF" w14:textId="77777777" w:rsidR="00896977" w:rsidRPr="00450D66" w:rsidRDefault="00896977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55FD4A7C" w14:textId="4B63B2EE" w:rsidR="00896977" w:rsidRPr="00A3507C" w:rsidRDefault="00896977" w:rsidP="002C6E7D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A3507C">
              <w:rPr>
                <w:rFonts w:hint="eastAsia"/>
              </w:rPr>
              <w:t>認知発達のプロセス</w:t>
            </w:r>
          </w:p>
        </w:tc>
        <w:tc>
          <w:tcPr>
            <w:tcW w:w="2381" w:type="dxa"/>
            <w:vMerge w:val="restart"/>
          </w:tcPr>
          <w:p w14:paraId="711F5335" w14:textId="77777777" w:rsidR="00896977" w:rsidRPr="00A3507C" w:rsidRDefault="00896977" w:rsidP="002C6E7D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5F380172" w:rsidR="00896977" w:rsidRPr="00A3507C" w:rsidRDefault="00896977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575822" w14:textId="5FBBBB31" w:rsidR="00896977" w:rsidRPr="00A3507C" w:rsidRDefault="00896977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ピアジェの発達的認識論</w:t>
            </w:r>
          </w:p>
        </w:tc>
      </w:tr>
      <w:tr w:rsidR="00981F60" w:rsidRPr="00A3507C" w14:paraId="3263F24F" w14:textId="77777777" w:rsidTr="002C6E7D">
        <w:trPr>
          <w:trHeight w:val="113"/>
        </w:trPr>
        <w:tc>
          <w:tcPr>
            <w:tcW w:w="391" w:type="dxa"/>
            <w:vMerge/>
          </w:tcPr>
          <w:p w14:paraId="358B99CA" w14:textId="77777777" w:rsidR="00896977" w:rsidRPr="00450D66" w:rsidRDefault="00896977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4797B02D" w14:textId="77777777" w:rsidR="00896977" w:rsidRDefault="00896977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14E875D" w14:textId="77777777" w:rsidR="00896977" w:rsidRPr="00A3507C" w:rsidRDefault="00896977" w:rsidP="002C6E7D"/>
        </w:tc>
        <w:sdt>
          <w:sdtPr>
            <w:id w:val="-1129932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5CABCC88" w14:textId="32F4C2EB" w:rsidR="00896977" w:rsidRDefault="00896977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5D25DC4" w14:textId="291FD74A" w:rsidR="00896977" w:rsidRDefault="00896977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成人・高齢者の認知特徴</w:t>
            </w:r>
          </w:p>
        </w:tc>
      </w:tr>
      <w:tr w:rsidR="00AE13A3" w:rsidRPr="00A3507C" w14:paraId="400C9A15" w14:textId="54A988A0" w:rsidTr="002C6E7D">
        <w:trPr>
          <w:trHeight w:val="104"/>
        </w:trPr>
        <w:tc>
          <w:tcPr>
            <w:tcW w:w="391" w:type="dxa"/>
            <w:vMerge/>
          </w:tcPr>
          <w:p w14:paraId="06D506AA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tcBorders>
              <w:bottom w:val="single" w:sz="4" w:space="0" w:color="auto"/>
            </w:tcBorders>
          </w:tcPr>
          <w:p w14:paraId="407F97AF" w14:textId="7504F21B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Pr="00A3507C">
              <w:rPr>
                <w:rFonts w:hint="eastAsia"/>
              </w:rPr>
              <w:t>対人関係の基礎としての認知発達</w:t>
            </w:r>
          </w:p>
        </w:tc>
        <w:tc>
          <w:tcPr>
            <w:tcW w:w="2381" w:type="dxa"/>
            <w:vMerge w:val="restart"/>
            <w:tcBorders>
              <w:bottom w:val="single" w:sz="4" w:space="0" w:color="auto"/>
            </w:tcBorders>
          </w:tcPr>
          <w:p w14:paraId="79EADC48" w14:textId="594B0F4C" w:rsidR="00AE13A3" w:rsidRPr="00A3507C" w:rsidRDefault="00AE13A3" w:rsidP="002C6E7D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186A1A85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三項関係</w:t>
            </w:r>
          </w:p>
        </w:tc>
      </w:tr>
      <w:tr w:rsidR="00AE13A3" w:rsidRPr="00A3507C" w14:paraId="0E1DD264" w14:textId="77777777" w:rsidTr="002C6E7D">
        <w:trPr>
          <w:trHeight w:val="104"/>
        </w:trPr>
        <w:tc>
          <w:tcPr>
            <w:tcW w:w="391" w:type="dxa"/>
            <w:vMerge/>
          </w:tcPr>
          <w:p w14:paraId="51F43CC3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21CBD491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3A67C58" w14:textId="77777777" w:rsidR="00AE13A3" w:rsidRPr="00A3507C" w:rsidRDefault="00AE13A3" w:rsidP="002C6E7D"/>
        </w:tc>
        <w:sdt>
          <w:sdtPr>
            <w:id w:val="4700279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4FD0240" w14:textId="74E8232E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8F79BB9" w14:textId="280EAD79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表象</w:t>
            </w:r>
          </w:p>
        </w:tc>
      </w:tr>
      <w:tr w:rsidR="00AE13A3" w:rsidRPr="00A3507C" w14:paraId="4ABDA290" w14:textId="77777777" w:rsidTr="002C6E7D">
        <w:trPr>
          <w:trHeight w:val="104"/>
        </w:trPr>
        <w:tc>
          <w:tcPr>
            <w:tcW w:w="391" w:type="dxa"/>
            <w:vMerge/>
          </w:tcPr>
          <w:p w14:paraId="2BE4723A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75FEE52C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4EAABB79" w14:textId="77777777" w:rsidR="00AE13A3" w:rsidRPr="00A3507C" w:rsidRDefault="00AE13A3" w:rsidP="002C6E7D"/>
        </w:tc>
        <w:sdt>
          <w:sdtPr>
            <w:id w:val="7436083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6E6FFC8" w14:textId="3490D5AA" w:rsidR="00AE13A3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11BAEA5D" w14:textId="7CD66F76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共同注意</w:t>
            </w:r>
          </w:p>
        </w:tc>
      </w:tr>
      <w:tr w:rsidR="00AE13A3" w:rsidRPr="00A3507C" w14:paraId="56319FFA" w14:textId="13D17B07" w:rsidTr="002C6E7D">
        <w:trPr>
          <w:trHeight w:val="85"/>
        </w:trPr>
        <w:tc>
          <w:tcPr>
            <w:tcW w:w="391" w:type="dxa"/>
            <w:vMerge/>
          </w:tcPr>
          <w:p w14:paraId="12FBB41B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4C4C1CFF" w14:textId="65E811B2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1F013FDA" w14:textId="77777777" w:rsidR="00AE13A3" w:rsidRPr="00A3507C" w:rsidRDefault="00AE13A3" w:rsidP="002C6E7D"/>
        </w:tc>
        <w:sdt>
          <w:sdtPr>
            <w:id w:val="-288764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DFB402D" w14:textId="61C0171B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972C3" w14:textId="56B85164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心の理論</w:t>
            </w:r>
          </w:p>
        </w:tc>
      </w:tr>
      <w:tr w:rsidR="00AE13A3" w:rsidRPr="00A3507C" w14:paraId="29081B32" w14:textId="112DCB86" w:rsidTr="002C6E7D">
        <w:trPr>
          <w:trHeight w:val="159"/>
        </w:trPr>
        <w:tc>
          <w:tcPr>
            <w:tcW w:w="391" w:type="dxa"/>
            <w:vMerge/>
          </w:tcPr>
          <w:p w14:paraId="62B17CF7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0FCA92AD" w14:textId="16EC5822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Pr="00A3507C">
              <w:rPr>
                <w:rFonts w:hint="eastAsia"/>
              </w:rPr>
              <w:t>記憶と情報処理</w:t>
            </w:r>
          </w:p>
        </w:tc>
        <w:tc>
          <w:tcPr>
            <w:tcW w:w="2381" w:type="dxa"/>
            <w:vMerge w:val="restart"/>
          </w:tcPr>
          <w:p w14:paraId="6969B0C4" w14:textId="31DBB814" w:rsidR="00AE13A3" w:rsidRPr="00A3507C" w:rsidRDefault="00AE13A3" w:rsidP="002C6E7D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E583A3" w14:textId="466CEC28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記憶</w:t>
            </w:r>
          </w:p>
        </w:tc>
      </w:tr>
      <w:tr w:rsidR="00AE13A3" w:rsidRPr="00A3507C" w14:paraId="24FF84D1" w14:textId="77777777" w:rsidTr="002C6E7D">
        <w:trPr>
          <w:trHeight w:val="159"/>
        </w:trPr>
        <w:tc>
          <w:tcPr>
            <w:tcW w:w="391" w:type="dxa"/>
            <w:vMerge/>
          </w:tcPr>
          <w:p w14:paraId="3A9F0A5C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025D3335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4C822C2E" w14:textId="77777777" w:rsidR="00AE13A3" w:rsidRPr="00A3507C" w:rsidRDefault="00AE13A3" w:rsidP="002C6E7D"/>
        </w:tc>
        <w:sdt>
          <w:sdtPr>
            <w:id w:val="-17061601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8E5B5D5" w14:textId="56DA9A54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9484804" w14:textId="474BBDCC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認知の諸機能</w:t>
            </w:r>
          </w:p>
        </w:tc>
      </w:tr>
      <w:tr w:rsidR="00AE13A3" w:rsidRPr="00A3507C" w14:paraId="76318E4D" w14:textId="18D87C40" w:rsidTr="002C6E7D">
        <w:tc>
          <w:tcPr>
            <w:tcW w:w="391" w:type="dxa"/>
            <w:vMerge/>
          </w:tcPr>
          <w:p w14:paraId="330E1E38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5FD38383" w14:textId="4BF5E2E4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5069327F" w14:textId="77777777" w:rsidR="00AE13A3" w:rsidRPr="00A3507C" w:rsidRDefault="00AE13A3" w:rsidP="002C6E7D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6EC32047" w14:textId="060E44AE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3E888D62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知恵</w:t>
            </w:r>
          </w:p>
        </w:tc>
      </w:tr>
      <w:tr w:rsidR="00AE13A3" w:rsidRPr="00A3507C" w14:paraId="110E6309" w14:textId="60C8B76E" w:rsidTr="002C6E7D">
        <w:trPr>
          <w:trHeight w:val="244"/>
        </w:trPr>
        <w:tc>
          <w:tcPr>
            <w:tcW w:w="391" w:type="dxa"/>
            <w:vMerge/>
          </w:tcPr>
          <w:p w14:paraId="084D193E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0C4FCB24" w14:textId="17A3FC35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Pr="00A3507C">
              <w:rPr>
                <w:rFonts w:hint="eastAsia"/>
              </w:rPr>
              <w:t>知能</w:t>
            </w:r>
          </w:p>
        </w:tc>
        <w:tc>
          <w:tcPr>
            <w:tcW w:w="2381" w:type="dxa"/>
            <w:vMerge w:val="restart"/>
          </w:tcPr>
          <w:p w14:paraId="6C30E3FD" w14:textId="77777777" w:rsidR="00AE13A3" w:rsidRPr="00A3507C" w:rsidRDefault="00AE13A3" w:rsidP="002C6E7D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A89BD7C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知能の定義</w:t>
            </w:r>
          </w:p>
        </w:tc>
      </w:tr>
      <w:tr w:rsidR="00AE13A3" w:rsidRPr="00A3507C" w14:paraId="1A5B4BC9" w14:textId="77777777" w:rsidTr="002C6E7D">
        <w:trPr>
          <w:trHeight w:val="244"/>
        </w:trPr>
        <w:tc>
          <w:tcPr>
            <w:tcW w:w="391" w:type="dxa"/>
            <w:vMerge/>
          </w:tcPr>
          <w:p w14:paraId="6984223A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0D220043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6C70C11C" w14:textId="77777777" w:rsidR="00AE13A3" w:rsidRPr="00A3507C" w:rsidRDefault="00AE13A3" w:rsidP="002C6E7D"/>
        </w:tc>
        <w:sdt>
          <w:sdtPr>
            <w:id w:val="14811967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CAD46E8" w14:textId="47F137E0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F903558" w14:textId="67D2C72A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知能の諸側面</w:t>
            </w:r>
          </w:p>
        </w:tc>
      </w:tr>
      <w:tr w:rsidR="00981F60" w:rsidRPr="00A3507C" w14:paraId="0B96665B" w14:textId="7665156E" w:rsidTr="002C6E7D">
        <w:tc>
          <w:tcPr>
            <w:tcW w:w="391" w:type="dxa"/>
            <w:vMerge/>
          </w:tcPr>
          <w:p w14:paraId="0ABF6A91" w14:textId="77777777" w:rsidR="00450D66" w:rsidRPr="00A3507C" w:rsidRDefault="00450D66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6A845F5D" w14:textId="68B53502" w:rsidR="00450D66" w:rsidRPr="00A3507C" w:rsidRDefault="00450D66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734B5144" w14:textId="77777777" w:rsidR="00450D66" w:rsidRPr="00A3507C" w:rsidRDefault="00450D66" w:rsidP="002C6E7D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B799FC8" w14:textId="66D1B59B" w:rsidR="00450D66" w:rsidRPr="00A3507C" w:rsidRDefault="00450D66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1692" w14:textId="7121D202" w:rsidR="00450D66" w:rsidRDefault="00896977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知能の恒常性と変化</w:t>
            </w:r>
          </w:p>
        </w:tc>
      </w:tr>
      <w:tr w:rsidR="00AE13A3" w:rsidRPr="00A3507C" w14:paraId="537D4BA8" w14:textId="3BD133F0" w:rsidTr="002C6E7D">
        <w:tc>
          <w:tcPr>
            <w:tcW w:w="391" w:type="dxa"/>
            <w:vMerge/>
          </w:tcPr>
          <w:p w14:paraId="4507B9B5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265111BC" w14:textId="4FA9FC2A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Pr="00A3507C">
              <w:rPr>
                <w:rFonts w:hint="eastAsia"/>
              </w:rPr>
              <w:t>学力とメタ認知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0F222E58" w14:textId="77777777" w:rsidR="00AE13A3" w:rsidRPr="00A3507C" w:rsidRDefault="00AE13A3" w:rsidP="002C6E7D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D589FAA" w14:textId="1A1B2D7A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C263CA" w14:textId="19BE60FC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学力</w:t>
            </w:r>
          </w:p>
        </w:tc>
      </w:tr>
      <w:tr w:rsidR="00AE13A3" w:rsidRPr="00A3507C" w14:paraId="2305E830" w14:textId="77777777" w:rsidTr="002C6E7D">
        <w:tc>
          <w:tcPr>
            <w:tcW w:w="391" w:type="dxa"/>
            <w:vMerge/>
          </w:tcPr>
          <w:p w14:paraId="472B9827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6E78DD44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2DCD7663" w14:textId="77777777" w:rsidR="00AE13A3" w:rsidRPr="00A3507C" w:rsidRDefault="00AE13A3" w:rsidP="002C6E7D"/>
        </w:tc>
        <w:sdt>
          <w:sdtPr>
            <w:id w:val="154336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E437108" w14:textId="050F8BC0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6A99A2C2" w14:textId="3CBB5292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メタ認知機能</w:t>
            </w:r>
          </w:p>
        </w:tc>
      </w:tr>
      <w:tr w:rsidR="00AE13A3" w:rsidRPr="00A3507C" w14:paraId="52E6E557" w14:textId="77777777" w:rsidTr="002C6E7D">
        <w:tc>
          <w:tcPr>
            <w:tcW w:w="391" w:type="dxa"/>
            <w:vMerge/>
          </w:tcPr>
          <w:p w14:paraId="758DEB4B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6088800D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6FA54A76" w14:textId="77777777" w:rsidR="00AE13A3" w:rsidRPr="00A3507C" w:rsidRDefault="00AE13A3" w:rsidP="002C6E7D"/>
        </w:tc>
        <w:sdt>
          <w:sdtPr>
            <w:id w:val="-8126336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326859B" w14:textId="2DD1FAF3" w:rsidR="00AE13A3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450B05B6" w14:textId="1CD472B9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知能と学力の関係</w:t>
            </w:r>
          </w:p>
        </w:tc>
      </w:tr>
      <w:tr w:rsidR="00AE13A3" w:rsidRPr="00A3507C" w14:paraId="6AB13F68" w14:textId="5BE3E1BD" w:rsidTr="002C6E7D">
        <w:tc>
          <w:tcPr>
            <w:tcW w:w="391" w:type="dxa"/>
            <w:vMerge/>
          </w:tcPr>
          <w:p w14:paraId="56A91E07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519106AB" w14:textId="2F2918CC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43B99E98" w14:textId="77777777" w:rsidR="00AE13A3" w:rsidRPr="00A3507C" w:rsidRDefault="00AE13A3" w:rsidP="002C6E7D"/>
        </w:tc>
        <w:sdt>
          <w:sdtPr>
            <w:id w:val="18126716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060A34" w14:textId="536F4D23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057E5AD" w14:textId="65749477" w:rsidR="00AE13A3" w:rsidRDefault="00AE13A3" w:rsidP="002C6E7D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学力不振の背景</w:t>
            </w:r>
          </w:p>
        </w:tc>
      </w:tr>
      <w:tr w:rsidR="00AE13A3" w:rsidRPr="00A3507C" w14:paraId="10A0EA97" w14:textId="1F659BEF" w:rsidTr="002C6E7D">
        <w:tc>
          <w:tcPr>
            <w:tcW w:w="391" w:type="dxa"/>
            <w:vMerge w:val="restart"/>
          </w:tcPr>
          <w:p w14:paraId="243CBC3B" w14:textId="77777777" w:rsidR="00AE13A3" w:rsidRPr="00A3507C" w:rsidRDefault="00AE13A3" w:rsidP="002C6E7D">
            <w:pPr>
              <w:jc w:val="center"/>
            </w:pPr>
          </w:p>
          <w:p w14:paraId="490DE140" w14:textId="77777777" w:rsidR="00AE13A3" w:rsidRPr="00A3507C" w:rsidRDefault="00AE13A3" w:rsidP="002C6E7D">
            <w:pPr>
              <w:jc w:val="center"/>
            </w:pPr>
          </w:p>
          <w:p w14:paraId="221EF6F0" w14:textId="345EA0CF" w:rsidR="00AE13A3" w:rsidRDefault="00AE13A3" w:rsidP="002C6E7D">
            <w:r>
              <w:rPr>
                <w:rFonts w:hint="eastAsia"/>
                <w:b/>
              </w:rPr>
              <w:t>支援</w:t>
            </w:r>
          </w:p>
        </w:tc>
        <w:tc>
          <w:tcPr>
            <w:tcW w:w="2438" w:type="dxa"/>
            <w:vMerge w:val="restart"/>
            <w:shd w:val="clear" w:color="auto" w:fill="auto"/>
          </w:tcPr>
          <w:p w14:paraId="47B3BAF9" w14:textId="4DEF76AC" w:rsidR="00AE13A3" w:rsidRPr="00A3507C" w:rsidRDefault="00AE13A3" w:rsidP="002C6E7D">
            <w:pPr>
              <w:ind w:left="200" w:hangingChars="100" w:hanging="200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Pr="00A3507C">
              <w:rPr>
                <w:rFonts w:hint="eastAsia"/>
              </w:rPr>
              <w:t>認知発達の</w:t>
            </w:r>
            <w:r>
              <w:rPr>
                <w:rFonts w:hint="eastAsia"/>
              </w:rPr>
              <w:t>アセスメント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5518C703" w14:textId="77777777" w:rsidR="00AE13A3" w:rsidRPr="00A3507C" w:rsidRDefault="00AE13A3" w:rsidP="002C6E7D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2978ECA" w14:textId="04D1B912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81BD51A" w14:textId="4ED7BA69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知能検査</w:t>
            </w:r>
          </w:p>
        </w:tc>
      </w:tr>
      <w:tr w:rsidR="00AE13A3" w:rsidRPr="00A3507C" w14:paraId="17EB8C25" w14:textId="77777777" w:rsidTr="002C6E7D">
        <w:tc>
          <w:tcPr>
            <w:tcW w:w="391" w:type="dxa"/>
            <w:vMerge/>
          </w:tcPr>
          <w:p w14:paraId="45CBE531" w14:textId="77777777" w:rsidR="00AE13A3" w:rsidRPr="00A3507C" w:rsidRDefault="00AE13A3" w:rsidP="002C6E7D">
            <w:pPr>
              <w:jc w:val="center"/>
            </w:pPr>
          </w:p>
        </w:tc>
        <w:tc>
          <w:tcPr>
            <w:tcW w:w="2438" w:type="dxa"/>
            <w:vMerge/>
            <w:shd w:val="clear" w:color="auto" w:fill="auto"/>
          </w:tcPr>
          <w:p w14:paraId="3A245408" w14:textId="77777777" w:rsidR="00AE13A3" w:rsidRDefault="00AE13A3" w:rsidP="002C6E7D">
            <w:pPr>
              <w:ind w:left="200" w:hangingChars="100" w:hanging="200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1EB87879" w14:textId="77777777" w:rsidR="00AE13A3" w:rsidRPr="00A3507C" w:rsidRDefault="00AE13A3" w:rsidP="002C6E7D"/>
        </w:tc>
        <w:sdt>
          <w:sdtPr>
            <w:id w:val="-11481242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5F26AF6" w14:textId="5BB5675C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30EC013" w14:textId="03980156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発達検査</w:t>
            </w:r>
          </w:p>
        </w:tc>
      </w:tr>
      <w:tr w:rsidR="00AE13A3" w:rsidRPr="00A3507C" w14:paraId="6473B29E" w14:textId="77777777" w:rsidTr="002C6E7D">
        <w:tc>
          <w:tcPr>
            <w:tcW w:w="391" w:type="dxa"/>
            <w:vMerge/>
          </w:tcPr>
          <w:p w14:paraId="611FE53A" w14:textId="77777777" w:rsidR="00AE13A3" w:rsidRPr="00A3507C" w:rsidRDefault="00AE13A3" w:rsidP="002C6E7D">
            <w:pPr>
              <w:jc w:val="center"/>
            </w:pPr>
          </w:p>
        </w:tc>
        <w:tc>
          <w:tcPr>
            <w:tcW w:w="2438" w:type="dxa"/>
            <w:vMerge/>
            <w:shd w:val="clear" w:color="auto" w:fill="auto"/>
          </w:tcPr>
          <w:p w14:paraId="1FA9BC36" w14:textId="77777777" w:rsidR="00AE13A3" w:rsidRDefault="00AE13A3" w:rsidP="002C6E7D">
            <w:pPr>
              <w:ind w:left="200" w:hangingChars="100" w:hanging="200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4DA62ACC" w14:textId="77777777" w:rsidR="00AE13A3" w:rsidRPr="00A3507C" w:rsidRDefault="00AE13A3" w:rsidP="002C6E7D"/>
        </w:tc>
        <w:sdt>
          <w:sdtPr>
            <w:id w:val="725796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AC4C360" w14:textId="6FE275AA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56751356" w14:textId="7117FBAE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妥当性と信頼性</w:t>
            </w:r>
          </w:p>
        </w:tc>
      </w:tr>
      <w:tr w:rsidR="00AE13A3" w:rsidRPr="00A3507C" w14:paraId="40BF5C8F" w14:textId="19826C85" w:rsidTr="002C6E7D">
        <w:tc>
          <w:tcPr>
            <w:tcW w:w="391" w:type="dxa"/>
            <w:vMerge/>
          </w:tcPr>
          <w:p w14:paraId="59030728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2DE7C748" w14:textId="785E6985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FD4EE17" w14:textId="77777777" w:rsidR="00AE13A3" w:rsidRPr="00A3507C" w:rsidRDefault="00AE13A3" w:rsidP="002C6E7D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6BEA3E4" w14:textId="45D9EE12" w:rsidR="00AE13A3" w:rsidRPr="00A3507C" w:rsidRDefault="00AE13A3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89D6C0" w14:textId="50BA9CDF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検査の実施方法</w:t>
            </w:r>
          </w:p>
        </w:tc>
      </w:tr>
      <w:tr w:rsidR="00AE13A3" w:rsidRPr="00A3507C" w14:paraId="792CCFB2" w14:textId="21501F75" w:rsidTr="002C6E7D">
        <w:tc>
          <w:tcPr>
            <w:tcW w:w="391" w:type="dxa"/>
            <w:vMerge/>
          </w:tcPr>
          <w:p w14:paraId="74BF91CC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027765D1" w14:textId="3252058C" w:rsidR="00AE13A3" w:rsidRPr="00A3507C" w:rsidRDefault="00AE13A3" w:rsidP="002C6E7D">
            <w:pPr>
              <w:ind w:left="400" w:hangingChars="200" w:hanging="400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認知発達の評価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3989BDD2" w14:textId="77777777" w:rsidR="00AE13A3" w:rsidRPr="00A3507C" w:rsidRDefault="00AE13A3" w:rsidP="002C6E7D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3F249" w14:textId="032C560B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9D381C1" w14:textId="4C5D727E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認知発達の評価方法</w:t>
            </w:r>
          </w:p>
        </w:tc>
      </w:tr>
      <w:tr w:rsidR="00E8495F" w:rsidRPr="00A3507C" w14:paraId="5D737148" w14:textId="77777777" w:rsidTr="002C6E7D">
        <w:tc>
          <w:tcPr>
            <w:tcW w:w="391" w:type="dxa"/>
            <w:vMerge/>
          </w:tcPr>
          <w:p w14:paraId="3EBAAA4A" w14:textId="77777777" w:rsidR="00E8495F" w:rsidRDefault="00E8495F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1A23A59D" w14:textId="77777777" w:rsidR="00E8495F" w:rsidRDefault="00E8495F" w:rsidP="002C6E7D">
            <w:pPr>
              <w:ind w:left="400" w:hangingChars="200" w:hanging="400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64952B82" w14:textId="77777777" w:rsidR="00E8495F" w:rsidRPr="00A3507C" w:rsidRDefault="00E8495F" w:rsidP="002C6E7D"/>
        </w:tc>
        <w:sdt>
          <w:sdtPr>
            <w:id w:val="-1706450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9B31243" w14:textId="6E901B14" w:rsidR="00E8495F" w:rsidRDefault="00E8495F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06DBA" w14:textId="28A8BA3C" w:rsidR="00E8495F" w:rsidRPr="00A3507C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面接</w:t>
            </w:r>
          </w:p>
        </w:tc>
        <w:sdt>
          <w:sdtPr>
            <w:id w:val="20788501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80E6D28" w14:textId="70D9EABC" w:rsidR="00E8495F" w:rsidRDefault="00E8495F" w:rsidP="002C6E7D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14:paraId="3C7E89A6" w14:textId="291B8ECD" w:rsidR="00E8495F" w:rsidRPr="00A3507C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行動観察</w:t>
            </w:r>
          </w:p>
        </w:tc>
      </w:tr>
      <w:tr w:rsidR="00E8495F" w:rsidRPr="00A3507C" w14:paraId="7B25AB0F" w14:textId="72AA7DFF" w:rsidTr="002C6E7D">
        <w:tc>
          <w:tcPr>
            <w:tcW w:w="391" w:type="dxa"/>
            <w:vMerge/>
          </w:tcPr>
          <w:p w14:paraId="3637CA09" w14:textId="77777777" w:rsidR="00E8495F" w:rsidRPr="00A3507C" w:rsidRDefault="00E8495F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26599FEA" w14:textId="3EC8BE42" w:rsidR="00E8495F" w:rsidRPr="00A3507C" w:rsidRDefault="00E8495F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57588DA0" w14:textId="77777777" w:rsidR="00E8495F" w:rsidRPr="00A3507C" w:rsidRDefault="00E8495F" w:rsidP="002C6E7D"/>
        </w:tc>
        <w:sdt>
          <w:sdtPr>
            <w:id w:val="-20448221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7B3E271C" w14:textId="01FFE9CD" w:rsidR="00E8495F" w:rsidRPr="00A3507C" w:rsidRDefault="00E8495F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E195E9" w14:textId="416207C2" w:rsidR="00E8495F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検査</w:t>
            </w:r>
          </w:p>
        </w:tc>
        <w:sdt>
          <w:sdtPr>
            <w:id w:val="184659037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A587832" w14:textId="79BFDFAE" w:rsidR="00E8495F" w:rsidRDefault="00E8495F" w:rsidP="002C6E7D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B095CD" w14:textId="50F50FE5" w:rsidR="00E8495F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総合評価</w:t>
            </w:r>
          </w:p>
        </w:tc>
      </w:tr>
      <w:tr w:rsidR="009A75B7" w:rsidRPr="00A3507C" w14:paraId="27DDA278" w14:textId="1A06289C" w:rsidTr="00C23798">
        <w:tc>
          <w:tcPr>
            <w:tcW w:w="391" w:type="dxa"/>
            <w:vMerge/>
          </w:tcPr>
          <w:p w14:paraId="746A16F4" w14:textId="77777777" w:rsidR="009A75B7" w:rsidRDefault="009A75B7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6EE3E0A8" w14:textId="4787A6AF" w:rsidR="009A75B7" w:rsidRPr="00A3507C" w:rsidRDefault="009A75B7" w:rsidP="002C6E7D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 w:rsidRPr="00A3507C">
              <w:rPr>
                <w:rFonts w:hint="eastAsia"/>
              </w:rPr>
              <w:t>認知発達の支援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372E7FBF" w14:textId="77777777" w:rsidR="009A75B7" w:rsidRPr="00A3507C" w:rsidRDefault="009A75B7" w:rsidP="002C6E7D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DE79FD3" w14:textId="3EB77D91" w:rsidR="009A75B7" w:rsidRPr="00A3507C" w:rsidRDefault="009A75B7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9509A59" w14:textId="144EEC9C" w:rsidR="009A75B7" w:rsidRDefault="009A75B7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知的発達の遅れへの支援</w:t>
            </w:r>
          </w:p>
        </w:tc>
      </w:tr>
      <w:tr w:rsidR="002C6E7D" w:rsidRPr="00A3507C" w14:paraId="71DD0914" w14:textId="24A4B409" w:rsidTr="002C6E7D">
        <w:tc>
          <w:tcPr>
            <w:tcW w:w="391" w:type="dxa"/>
            <w:vMerge/>
          </w:tcPr>
          <w:p w14:paraId="399A2291" w14:textId="7777777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7E7F024E" w14:textId="1B662B5C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6988557B" w14:textId="77777777" w:rsidR="002C6E7D" w:rsidRPr="00A3507C" w:rsidRDefault="002C6E7D" w:rsidP="002C6E7D"/>
        </w:tc>
        <w:sdt>
          <w:sdtPr>
            <w:id w:val="-98646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E44464C" w14:textId="76C5922A" w:rsidR="002C6E7D" w:rsidRPr="00A3507C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28179" w14:textId="59B0C719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認知の偏りへの支援</w:t>
            </w:r>
          </w:p>
        </w:tc>
        <w:sdt>
          <w:sdtPr>
            <w:id w:val="1299844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2949171" w14:textId="3BC8A391" w:rsidR="002C6E7D" w:rsidRDefault="002C6E7D" w:rsidP="002C6E7D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D9B7E9B" w14:textId="1B37D2B6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Gifted</w:t>
            </w:r>
          </w:p>
        </w:tc>
      </w:tr>
      <w:tr w:rsidR="002C6E7D" w:rsidRPr="00A3507C" w14:paraId="5AA6254E" w14:textId="59E1BAD9" w:rsidTr="002C6E7D">
        <w:trPr>
          <w:trHeight w:val="88"/>
        </w:trPr>
        <w:tc>
          <w:tcPr>
            <w:tcW w:w="391" w:type="dxa"/>
            <w:vMerge/>
          </w:tcPr>
          <w:p w14:paraId="76097F62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1A6448ED" w14:textId="36A4651C" w:rsidR="002C6E7D" w:rsidRPr="00A3507C" w:rsidRDefault="002C6E7D" w:rsidP="002C6E7D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 w:rsidRPr="00A3507C">
              <w:rPr>
                <w:rFonts w:hint="eastAsia"/>
              </w:rPr>
              <w:t>対人認知の支援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144E5B15" w14:textId="77777777" w:rsidR="002C6E7D" w:rsidRPr="00A3507C" w:rsidRDefault="002C6E7D" w:rsidP="002C6E7D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D08E3D6" w14:textId="6494837B" w:rsidR="002C6E7D" w:rsidRPr="00A3507C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3CA044D" w14:textId="706BB7B5" w:rsidR="002C6E7D" w:rsidRPr="00A3507C" w:rsidRDefault="002C6E7D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対人認知の遅れ・歪みへの支援</w:t>
            </w:r>
          </w:p>
        </w:tc>
      </w:tr>
      <w:tr w:rsidR="002C6E7D" w:rsidRPr="00A3507C" w14:paraId="48BF985F" w14:textId="77777777" w:rsidTr="002C6E7D">
        <w:trPr>
          <w:trHeight w:val="88"/>
        </w:trPr>
        <w:tc>
          <w:tcPr>
            <w:tcW w:w="391" w:type="dxa"/>
            <w:vMerge/>
          </w:tcPr>
          <w:p w14:paraId="3B631B73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5EDBA8C7" w14:textId="06EFDFA3" w:rsidR="002C6E7D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2BE6CDE9" w14:textId="77777777" w:rsidR="002C6E7D" w:rsidRPr="00A3507C" w:rsidRDefault="002C6E7D" w:rsidP="002C6E7D"/>
        </w:tc>
        <w:sdt>
          <w:sdtPr>
            <w:id w:val="2897883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0762189" w14:textId="3C75EE6D" w:rsidR="002C6E7D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7887363" w14:textId="6C45D577" w:rsidR="002C6E7D" w:rsidRDefault="002C6E7D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個人に対するアプローチ</w:t>
            </w:r>
          </w:p>
        </w:tc>
      </w:tr>
      <w:tr w:rsidR="002C6E7D" w:rsidRPr="00A3507C" w14:paraId="3C464723" w14:textId="0A53E28C" w:rsidTr="002C6E7D">
        <w:tc>
          <w:tcPr>
            <w:tcW w:w="391" w:type="dxa"/>
            <w:vMerge/>
          </w:tcPr>
          <w:p w14:paraId="104300CB" w14:textId="7777777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3E22B979" w14:textId="5E4ECE08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5532275B" w14:textId="77777777" w:rsidR="002C6E7D" w:rsidRPr="00A3507C" w:rsidRDefault="002C6E7D" w:rsidP="002C6E7D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01CA415" w14:textId="504FF7B4" w:rsidR="002C6E7D" w:rsidRPr="00A3507C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26D419" w14:textId="26ECBBA5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関係・集団に対するアプローチ</w:t>
            </w:r>
          </w:p>
        </w:tc>
      </w:tr>
      <w:tr w:rsidR="002C6E7D" w:rsidRPr="00A3507C" w14:paraId="771E93A7" w14:textId="1C1908FD" w:rsidTr="002C6E7D">
        <w:tc>
          <w:tcPr>
            <w:tcW w:w="391" w:type="dxa"/>
            <w:vMerge/>
          </w:tcPr>
          <w:p w14:paraId="51816057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160826B6" w14:textId="286190BB" w:rsidR="002C6E7D" w:rsidRPr="00A3507C" w:rsidRDefault="002C6E7D" w:rsidP="002C6E7D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 w:rsidRPr="00A3507C">
              <w:rPr>
                <w:rFonts w:hint="eastAsia"/>
              </w:rPr>
              <w:t>学業不振に対する支援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51C1DF1F" w14:textId="77777777" w:rsidR="002C6E7D" w:rsidRPr="00A3507C" w:rsidRDefault="002C6E7D" w:rsidP="002C6E7D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5997B49" w14:textId="4F1C656E" w:rsidR="002C6E7D" w:rsidRPr="00A3507C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34912996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学業不振の評価</w:t>
            </w:r>
          </w:p>
        </w:tc>
      </w:tr>
      <w:tr w:rsidR="002C6E7D" w:rsidRPr="00A3507C" w14:paraId="7DBCDA70" w14:textId="77777777" w:rsidTr="002C6E7D">
        <w:tc>
          <w:tcPr>
            <w:tcW w:w="391" w:type="dxa"/>
            <w:vMerge/>
          </w:tcPr>
          <w:p w14:paraId="5842240E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7C6E05CC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23E165B6" w14:textId="77777777" w:rsidR="002C6E7D" w:rsidRPr="00A3507C" w:rsidRDefault="002C6E7D" w:rsidP="002C6E7D"/>
        </w:tc>
        <w:sdt>
          <w:sdtPr>
            <w:id w:val="-7714707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907C1AC" w14:textId="1B6E67D5" w:rsidR="002C6E7D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03B2CF06" w14:textId="5039A487" w:rsidR="002C6E7D" w:rsidRPr="00A3507C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学業不振への支援</w:t>
            </w:r>
          </w:p>
        </w:tc>
      </w:tr>
      <w:tr w:rsidR="002C6E7D" w:rsidRPr="00A3507C" w14:paraId="1F51DC22" w14:textId="18EE23A8" w:rsidTr="002C6E7D">
        <w:tc>
          <w:tcPr>
            <w:tcW w:w="391" w:type="dxa"/>
            <w:vMerge/>
          </w:tcPr>
          <w:p w14:paraId="7569CB9A" w14:textId="7777777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4B09BE" w14:textId="4C22FDA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30C19F95" w14:textId="77777777" w:rsidR="002C6E7D" w:rsidRPr="00A3507C" w:rsidRDefault="002C6E7D" w:rsidP="002C6E7D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F13DDA4" w14:textId="1B6E5261" w:rsidR="002C6E7D" w:rsidRPr="00A3507C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2CEAAAFA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算数障害への支援</w:t>
            </w:r>
          </w:p>
        </w:tc>
      </w:tr>
      <w:tr w:rsidR="002C6E7D" w:rsidRPr="00A3507C" w14:paraId="6C68D663" w14:textId="3B4A1430" w:rsidTr="002C6E7D">
        <w:tc>
          <w:tcPr>
            <w:tcW w:w="391" w:type="dxa"/>
            <w:vMerge/>
          </w:tcPr>
          <w:p w14:paraId="432C61D1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530CD4F8" w14:textId="4762C3AA" w:rsidR="002C6E7D" w:rsidRPr="00A3507C" w:rsidRDefault="002C6E7D" w:rsidP="002C6E7D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 w:rsidRPr="00A3507C">
              <w:rPr>
                <w:rFonts w:hint="eastAsia"/>
              </w:rPr>
              <w:t>高次脳機能障害のアセスメントと支援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2E531B57" w14:textId="77777777" w:rsidR="002C6E7D" w:rsidRPr="00A3507C" w:rsidRDefault="002C6E7D" w:rsidP="002C6E7D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54CAC00" w14:textId="6F0910DF" w:rsidR="002C6E7D" w:rsidRPr="00A3507C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2B973180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高次脳機能障害</w:t>
            </w:r>
          </w:p>
        </w:tc>
      </w:tr>
      <w:tr w:rsidR="002C6E7D" w:rsidRPr="00A3507C" w14:paraId="6C41ED1D" w14:textId="77777777" w:rsidTr="002C6E7D">
        <w:tc>
          <w:tcPr>
            <w:tcW w:w="391" w:type="dxa"/>
            <w:vMerge/>
          </w:tcPr>
          <w:p w14:paraId="74342219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0F0D0881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020BF43D" w14:textId="77777777" w:rsidR="002C6E7D" w:rsidRPr="00A3507C" w:rsidRDefault="002C6E7D" w:rsidP="002C6E7D"/>
        </w:tc>
        <w:sdt>
          <w:sdtPr>
            <w:id w:val="18354962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FA5848E" w14:textId="5820BF48" w:rsidR="002C6E7D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444BE35" w14:textId="2A0FFD20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失語・失認・</w:t>
            </w:r>
            <w:r>
              <w:rPr>
                <w:rFonts w:hint="eastAsia"/>
              </w:rPr>
              <w:t>失行</w:t>
            </w:r>
            <w:r w:rsidRPr="00A3507C">
              <w:rPr>
                <w:rFonts w:hint="eastAsia"/>
              </w:rPr>
              <w:t>・実行機能の障害</w:t>
            </w:r>
          </w:p>
        </w:tc>
      </w:tr>
    </w:tbl>
    <w:p w14:paraId="1F224498" w14:textId="77777777" w:rsidR="00EC6539" w:rsidRDefault="00EC6539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p w14:paraId="5C4162F5" w14:textId="54ECDDE0" w:rsidR="00FC42D8" w:rsidRPr="00A3507C" w:rsidRDefault="00FC42D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科目内容基準が含まれる割合：</w:t>
      </w:r>
      <w:r w:rsidR="0011474D">
        <w:rPr>
          <w:rFonts w:ascii="ＭＳ ゴシック" w:eastAsia="ＭＳ ゴシック" w:hAnsi="ＭＳ ゴシック" w:hint="eastAsia"/>
          <w:b/>
          <w:szCs w:val="20"/>
        </w:rPr>
        <w:t>発達の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基礎（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項目），支援（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537E2753" w14:textId="32D23126" w:rsidR="00FC42D8" w:rsidRPr="00A3507C" w:rsidRDefault="002C6E7D" w:rsidP="00FC42D8">
      <w:pPr>
        <w:tabs>
          <w:tab w:val="left" w:pos="6480"/>
        </w:tabs>
        <w:spacing w:line="240" w:lineRule="auto"/>
        <w:rPr>
          <w:szCs w:val="20"/>
          <w:u w:val="single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52158" wp14:editId="16B7A9DD">
                <wp:simplePos x="0" y="0"/>
                <wp:positionH relativeFrom="margin">
                  <wp:posOffset>4140200</wp:posOffset>
                </wp:positionH>
                <wp:positionV relativeFrom="paragraph">
                  <wp:posOffset>120015</wp:posOffset>
                </wp:positionV>
                <wp:extent cx="266700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F9AF0" w14:textId="4F44119E" w:rsidR="002C6E7D" w:rsidRPr="00B702BB" w:rsidRDefault="002C6E7D" w:rsidP="002C6E7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  <w:r w:rsidR="00B702BB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｢発達の基礎｣｢支援｣それぞれにおいて</w:t>
                            </w:r>
                          </w:p>
                          <w:p w14:paraId="5364C0B6" w14:textId="4A2F3B00" w:rsidR="002C6E7D" w:rsidRPr="00C177EE" w:rsidRDefault="002C6E7D" w:rsidP="002C6E7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5B41D949" w14:textId="537FD366" w:rsidR="002C6E7D" w:rsidRPr="00C177EE" w:rsidRDefault="002C6E7D" w:rsidP="002C6E7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 xml:space="preserve">　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52158" id="正方形/長方形 1" o:spid="_x0000_s1026" style="position:absolute;left:0;text-align:left;margin-left:326pt;margin-top:9.45pt;width:210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" fillcolor="white [3201]" strokecolor="black [3200]" strokeweight=".5pt">
                <v:stroke dashstyle="dash"/>
                <v:textbox inset="2mm,1mm,0,1mm">
                  <w:txbxContent>
                    <w:p w14:paraId="50FF9AF0" w14:textId="4F44119E" w:rsidR="002C6E7D" w:rsidRPr="00B702BB" w:rsidRDefault="002C6E7D" w:rsidP="002C6E7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  <w:r w:rsidR="00B702BB">
                        <w:rPr>
                          <w:rFonts w:hint="eastAsia"/>
                          <w:sz w:val="18"/>
                          <w:szCs w:val="32"/>
                        </w:rPr>
                        <w:t>｢発達の基礎｣｢支援｣それぞれにおいて</w:t>
                      </w:r>
                    </w:p>
                    <w:p w14:paraId="5364C0B6" w14:textId="4A2F3B00" w:rsidR="002C6E7D" w:rsidRPr="00C177EE" w:rsidRDefault="002C6E7D" w:rsidP="002C6E7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5B41D949" w14:textId="537FD366" w:rsidR="002C6E7D" w:rsidRPr="00C177EE" w:rsidRDefault="002C6E7D" w:rsidP="002C6E7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 xml:space="preserve">　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を認定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申請単位数：</w:t>
      </w:r>
      <w:r w:rsidR="004E1446">
        <w:rPr>
          <w:rFonts w:ascii="ＭＳ ゴシック" w:eastAsia="ＭＳ ゴシック" w:hAnsi="ＭＳ ゴシック" w:hint="eastAsia"/>
          <w:b/>
          <w:szCs w:val="20"/>
        </w:rPr>
        <w:t>発達の</w: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基礎（　　　　　）単位，支援（　　　　　）単位</w:t>
      </w:r>
    </w:p>
    <w:p w14:paraId="071FD3BF" w14:textId="032C7998" w:rsidR="00033E58" w:rsidRPr="00FC42D8" w:rsidRDefault="00033E5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sectPr w:rsidR="00033E58" w:rsidRPr="00FC42D8" w:rsidSect="00450D66">
      <w:headerReference w:type="default" r:id="rId7"/>
      <w:headerReference w:type="first" r:id="rId8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BD77E" w14:textId="77777777" w:rsidR="00293C13" w:rsidRDefault="00293C13">
      <w:pPr>
        <w:spacing w:line="240" w:lineRule="auto"/>
      </w:pPr>
      <w:r>
        <w:separator/>
      </w:r>
    </w:p>
  </w:endnote>
  <w:endnote w:type="continuationSeparator" w:id="0">
    <w:p w14:paraId="5CBB7D3F" w14:textId="77777777" w:rsidR="00293C13" w:rsidRDefault="00293C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CAE8" w14:textId="77777777" w:rsidR="00293C13" w:rsidRDefault="00293C13">
      <w:pPr>
        <w:spacing w:line="240" w:lineRule="auto"/>
      </w:pPr>
      <w:r>
        <w:separator/>
      </w:r>
    </w:p>
  </w:footnote>
  <w:footnote w:type="continuationSeparator" w:id="0">
    <w:p w14:paraId="1D985A2C" w14:textId="77777777" w:rsidR="00293C13" w:rsidRDefault="00293C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FFE3" w14:textId="7EF191F4" w:rsidR="001F3889" w:rsidRPr="007E491B" w:rsidRDefault="00450D66" w:rsidP="00850370">
    <w:pPr>
      <w:pStyle w:val="a3"/>
      <w:rPr>
        <w:b w:val="0"/>
        <w:sz w:val="21"/>
        <w:szCs w:val="21"/>
      </w:rPr>
    </w:pPr>
    <w:r w:rsidRPr="007E491B">
      <w:rPr>
        <w:b w:val="0"/>
        <w:sz w:val="21"/>
        <w:szCs w:val="21"/>
      </w:rPr>
      <w:t xml:space="preserve">大学院シラバスの指定科単位認定　</w:t>
    </w:r>
    <w:r w:rsidRPr="007E491B">
      <w:rPr>
        <w:b w:val="0"/>
        <w:sz w:val="21"/>
        <w:szCs w:val="21"/>
      </w:rPr>
      <w:t>202</w:t>
    </w:r>
    <w:r w:rsidR="00C96B54">
      <w:rPr>
        <w:rFonts w:hint="eastAsia"/>
        <w:b w:val="0"/>
        <w:sz w:val="21"/>
        <w:szCs w:val="21"/>
      </w:rPr>
      <w:t>3</w:t>
    </w:r>
    <w:r w:rsidRPr="007E491B">
      <w:rPr>
        <w:b w:val="0"/>
        <w:sz w:val="21"/>
        <w:szCs w:val="21"/>
      </w:rPr>
      <w:t>年度様式</w:t>
    </w:r>
    <w:r w:rsidR="005F40C7" w:rsidRPr="007E491B">
      <w:rPr>
        <w:b w:val="0"/>
        <w:sz w:val="21"/>
        <w:szCs w:val="21"/>
      </w:rPr>
      <w:t>4</w:t>
    </w:r>
    <w:r w:rsidRPr="007E491B">
      <w:rPr>
        <w:b w:val="0"/>
        <w:sz w:val="21"/>
        <w:szCs w:val="21"/>
      </w:rPr>
      <w:t xml:space="preserve">　「認知」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8846F" w14:textId="77777777" w:rsidR="00850370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1321478">
    <w:abstractNumId w:val="0"/>
  </w:num>
  <w:num w:numId="2" w16cid:durableId="628323831">
    <w:abstractNumId w:val="3"/>
  </w:num>
  <w:num w:numId="3" w16cid:durableId="1419904406">
    <w:abstractNumId w:val="5"/>
  </w:num>
  <w:num w:numId="4" w16cid:durableId="374234865">
    <w:abstractNumId w:val="4"/>
  </w:num>
  <w:num w:numId="5" w16cid:durableId="1189173101">
    <w:abstractNumId w:val="6"/>
  </w:num>
  <w:num w:numId="6" w16cid:durableId="339740457">
    <w:abstractNumId w:val="1"/>
  </w:num>
  <w:num w:numId="7" w16cid:durableId="397826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E58"/>
    <w:rsid w:val="0011474D"/>
    <w:rsid w:val="001B7325"/>
    <w:rsid w:val="001E14A5"/>
    <w:rsid w:val="001F3889"/>
    <w:rsid w:val="00293C13"/>
    <w:rsid w:val="002C6E7D"/>
    <w:rsid w:val="00356D49"/>
    <w:rsid w:val="00372EFB"/>
    <w:rsid w:val="00450D66"/>
    <w:rsid w:val="0046371F"/>
    <w:rsid w:val="004B4A56"/>
    <w:rsid w:val="004C5B46"/>
    <w:rsid w:val="004E1446"/>
    <w:rsid w:val="004E5A2A"/>
    <w:rsid w:val="00506506"/>
    <w:rsid w:val="005134A6"/>
    <w:rsid w:val="005F40C7"/>
    <w:rsid w:val="006F21BF"/>
    <w:rsid w:val="006F2250"/>
    <w:rsid w:val="007E491B"/>
    <w:rsid w:val="00836720"/>
    <w:rsid w:val="00846B5B"/>
    <w:rsid w:val="008544B6"/>
    <w:rsid w:val="00872E6D"/>
    <w:rsid w:val="00896977"/>
    <w:rsid w:val="00920D64"/>
    <w:rsid w:val="009602DA"/>
    <w:rsid w:val="00960918"/>
    <w:rsid w:val="00981F60"/>
    <w:rsid w:val="009A75B7"/>
    <w:rsid w:val="00A551DC"/>
    <w:rsid w:val="00A558D9"/>
    <w:rsid w:val="00AE13A3"/>
    <w:rsid w:val="00B24D01"/>
    <w:rsid w:val="00B702BB"/>
    <w:rsid w:val="00BD1BCE"/>
    <w:rsid w:val="00BE2FFC"/>
    <w:rsid w:val="00C145C0"/>
    <w:rsid w:val="00C278EB"/>
    <w:rsid w:val="00C91168"/>
    <w:rsid w:val="00C96B54"/>
    <w:rsid w:val="00CB11DF"/>
    <w:rsid w:val="00CF5018"/>
    <w:rsid w:val="00E10857"/>
    <w:rsid w:val="00E613AE"/>
    <w:rsid w:val="00E65FDA"/>
    <w:rsid w:val="00E8495F"/>
    <w:rsid w:val="00EC6539"/>
    <w:rsid w:val="00F745E6"/>
    <w:rsid w:val="00FC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堂山 亜希</cp:lastModifiedBy>
  <cp:revision>17</cp:revision>
  <dcterms:created xsi:type="dcterms:W3CDTF">2021-10-24T13:09:00Z</dcterms:created>
  <dcterms:modified xsi:type="dcterms:W3CDTF">2023-02-05T09:40:00Z</dcterms:modified>
</cp:coreProperties>
</file>